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74" w:beforeLines="24" w:line="360" w:lineRule="auto"/>
        <w:jc w:val="center"/>
        <w:rPr>
          <w:rFonts w:hint="eastAsia" w:ascii="楷体" w:hAnsi="楷体" w:eastAsia="楷体" w:cs="楷体"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sz w:val="52"/>
          <w:szCs w:val="52"/>
          <w:lang w:val="en-US" w:eastAsia="zh-CN"/>
        </w:rPr>
        <w:t>注册操作手册</w:t>
      </w:r>
    </w:p>
    <w:p>
      <w:pPr>
        <w:spacing w:before="74" w:beforeLines="24" w:line="360" w:lineRule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color w:val="7030A0"/>
          <w:sz w:val="32"/>
          <w:szCs w:val="32"/>
        </w:rPr>
        <w:t>温馨提示：</w:t>
      </w:r>
      <w:r>
        <w:rPr>
          <w:rFonts w:hint="eastAsia" w:ascii="仿宋" w:hAnsi="仿宋" w:eastAsia="仿宋" w:cs="仿宋"/>
          <w:sz w:val="32"/>
          <w:szCs w:val="32"/>
        </w:rPr>
        <w:t>为确保最佳效果，建议使用谷歌浏览器。</w:t>
      </w:r>
    </w:p>
    <w:p>
      <w:pPr>
        <w:numPr>
          <w:ilvl w:val="0"/>
          <w:numId w:val="1"/>
        </w:numPr>
        <w:ind w:left="0" w:leftChars="0" w:firstLine="420" w:firstLineChars="0"/>
        <w:outlineLvl w:val="2"/>
        <w:rPr>
          <w:rFonts w:hint="eastAsia" w:ascii="仿宋" w:hAnsi="仿宋" w:eastAsia="仿宋" w:cs="仿宋"/>
          <w:color w:val="2F5597" w:themeColor="accent5" w:themeShade="BF"/>
          <w:sz w:val="32"/>
          <w:szCs w:val="32"/>
        </w:rPr>
      </w:pPr>
      <w:r>
        <w:rPr>
          <w:rFonts w:hint="eastAsia" w:ascii="仿宋" w:hAnsi="仿宋" w:eastAsia="仿宋" w:cs="仿宋"/>
          <w:color w:val="2F5597" w:themeColor="accent5" w:themeShade="BF"/>
          <w:sz w:val="32"/>
          <w:szCs w:val="32"/>
        </w:rPr>
        <w:t>注册账户</w:t>
      </w:r>
    </w:p>
    <w:p>
      <w:pPr>
        <w:numPr>
          <w:ilvl w:val="0"/>
          <w:numId w:val="2"/>
        </w:numPr>
        <w:ind w:left="425" w:leftChars="0" w:hanging="425" w:firstLineChars="0"/>
        <w:outlineLvl w:val="9"/>
        <w:rPr>
          <w:rFonts w:hint="eastAsia" w:ascii="仿宋" w:hAnsi="仿宋" w:eastAsia="仿宋" w:cs="仿宋"/>
          <w:color w:val="000000" w:themeColor="text1"/>
          <w:sz w:val="32"/>
          <w:szCs w:val="32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登录网站首页</w:t>
      </w:r>
      <w:r>
        <w:rPr>
          <w:rFonts w:hint="eastAsia" w:ascii="仿宋" w:hAnsi="仿宋" w:eastAsia="仿宋" w:cs="仿宋"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sz w:val="32"/>
          <w:szCs w:val="32"/>
        </w:rPr>
        <w:instrText xml:space="preserve"> HYPERLINK "http://www.wlmqsme.cn/" </w:instrText>
      </w:r>
      <w:r>
        <w:rPr>
          <w:rFonts w:hint="eastAsia" w:ascii="仿宋" w:hAnsi="仿宋" w:eastAsia="仿宋" w:cs="仿宋"/>
          <w:sz w:val="32"/>
          <w:szCs w:val="32"/>
        </w:rPr>
        <w:fldChar w:fldCharType="separate"/>
      </w:r>
      <w:r>
        <w:rPr>
          <w:rStyle w:val="4"/>
          <w:rFonts w:hint="eastAsia" w:ascii="仿宋" w:hAnsi="仿宋" w:eastAsia="仿宋" w:cs="仿宋"/>
          <w:sz w:val="32"/>
          <w:szCs w:val="32"/>
        </w:rPr>
        <w:t>http://www.wlmqsme.cn/</w:t>
      </w:r>
      <w:r>
        <w:rPr>
          <w:rStyle w:val="4"/>
          <w:rFonts w:hint="eastAsia" w:ascii="仿宋" w:hAnsi="仿宋" w:eastAsia="仿宋" w:cs="仿宋"/>
          <w:sz w:val="32"/>
          <w:szCs w:val="32"/>
        </w:rPr>
        <w:fldChar w:fldCharType="end"/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2491105"/>
            <wp:effectExtent l="0" t="0" r="1397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outlineLvl w:val="9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点击右上方 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“注册”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，弹出注册页面。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2960370"/>
            <wp:effectExtent l="0" t="0" r="1397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outlineLvl w:val="9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在注册页面填写相关信息，点击 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“立刻注册”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，页面自动跳转到登录界面。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1859915"/>
            <wp:effectExtent l="0" t="0" r="1397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5" w:leftChars="0" w:hanging="425" w:firstLineChars="0"/>
        <w:outlineLvl w:val="9"/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按照提示输入用户名，密码，验证码，点击 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“保存”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，进入用户中心。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1610" cy="1809115"/>
            <wp:effectExtent l="0" t="0" r="15240" b="635"/>
            <wp:docPr id="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1"/>
        </w:numPr>
        <w:ind w:left="0" w:leftChars="0" w:firstLine="420" w:firstLineChars="0"/>
        <w:outlineLvl w:val="2"/>
        <w:rPr>
          <w:rFonts w:hint="eastAsia" w:ascii="仿宋" w:hAnsi="仿宋" w:eastAsia="仿宋" w:cs="仿宋"/>
          <w:color w:val="2F5597" w:themeColor="accent5" w:themeShade="BF"/>
          <w:sz w:val="32"/>
          <w:szCs w:val="32"/>
        </w:rPr>
      </w:pPr>
      <w:r>
        <w:rPr>
          <w:rFonts w:hint="eastAsia" w:ascii="仿宋" w:hAnsi="仿宋" w:eastAsia="仿宋" w:cs="仿宋"/>
          <w:color w:val="2F5597" w:themeColor="accent5" w:themeShade="BF"/>
          <w:sz w:val="32"/>
          <w:szCs w:val="32"/>
        </w:rPr>
        <w:t>升级为</w:t>
      </w:r>
      <w:r>
        <w:rPr>
          <w:rFonts w:hint="eastAsia" w:ascii="仿宋" w:hAnsi="仿宋" w:eastAsia="仿宋" w:cs="仿宋"/>
          <w:color w:val="2F5597" w:themeColor="accent5" w:themeShade="BF"/>
          <w:sz w:val="32"/>
          <w:szCs w:val="32"/>
          <w:lang w:val="en-US" w:eastAsia="zh-CN"/>
        </w:rPr>
        <w:t>企业或机构</w:t>
      </w:r>
      <w:r>
        <w:rPr>
          <w:rFonts w:hint="eastAsia" w:ascii="仿宋" w:hAnsi="仿宋" w:eastAsia="仿宋" w:cs="仿宋"/>
          <w:color w:val="2F5597" w:themeColor="accent5" w:themeShade="BF"/>
          <w:sz w:val="32"/>
          <w:szCs w:val="32"/>
        </w:rPr>
        <w:t>用户</w:t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阅读《用户协议》，同意接受协议内容后，勾选“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阅读并同意《用户协议》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”，</w:t>
      </w:r>
      <w:r>
        <w:rPr>
          <w:rFonts w:hint="eastAsia" w:ascii="仿宋" w:hAnsi="仿宋" w:eastAsia="仿宋" w:cs="仿宋"/>
          <w:sz w:val="32"/>
          <w:szCs w:val="32"/>
        </w:rPr>
        <w:t xml:space="preserve">点击 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“去认证”</w:t>
      </w:r>
      <w:r>
        <w:rPr>
          <w:rFonts w:hint="eastAsia" w:ascii="仿宋" w:hAnsi="仿宋" w:eastAsia="仿宋" w:cs="仿宋"/>
          <w:sz w:val="32"/>
          <w:szCs w:val="32"/>
        </w:rPr>
        <w:t xml:space="preserve"> ，进入认证页面。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0975" cy="2538730"/>
            <wp:effectExtent l="0" t="0" r="12065" b="635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/>
        </w:rPr>
      </w:pP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填写相关信息并上传营业执照等相关附件。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3988435"/>
            <wp:effectExtent l="0" t="0" r="1397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确认所有认证信息无误后，点击 “确定”保存信息，页面跳转到用户中心。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2499360"/>
            <wp:effectExtent l="0" t="0" r="139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5" w:leftChars="0" w:hanging="425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等管理员审核过后，再次登录后，用户升级为企业用户。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2420620"/>
            <wp:effectExtent l="0" t="0" r="1397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420" w:firstLineChars="0"/>
        <w:outlineLvl w:val="2"/>
        <w:rPr>
          <w:rFonts w:hint="eastAsia" w:ascii="仿宋" w:hAnsi="仿宋" w:eastAsia="仿宋" w:cs="仿宋"/>
          <w:color w:val="2F5597" w:themeColor="accent5" w:themeShade="BF"/>
          <w:sz w:val="32"/>
          <w:szCs w:val="32"/>
        </w:rPr>
      </w:pPr>
      <w:r>
        <w:rPr>
          <w:rFonts w:hint="eastAsia" w:ascii="仿宋" w:hAnsi="仿宋" w:eastAsia="仿宋" w:cs="仿宋"/>
          <w:color w:val="2F5597" w:themeColor="accent5" w:themeShade="BF"/>
          <w:sz w:val="32"/>
          <w:szCs w:val="32"/>
        </w:rPr>
        <w:t>修改密码</w:t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在用户中心中，点击 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“修改密码”</w:t>
      </w:r>
      <w:r>
        <w:rPr>
          <w:rFonts w:hint="eastAsia" w:ascii="仿宋" w:hAnsi="仿宋" w:eastAsia="仿宋" w:cs="仿宋"/>
          <w:sz w:val="32"/>
          <w:szCs w:val="32"/>
        </w:rPr>
        <w:t xml:space="preserve"> ，弹出修改密码的窗口。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2245360"/>
            <wp:effectExtent l="0" t="0" r="1397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5" w:leftChars="0" w:hanging="425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输入原来的密码，新的密码等信息，点击 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“提交”</w:t>
      </w:r>
      <w:r>
        <w:rPr>
          <w:rFonts w:hint="eastAsia" w:ascii="仿宋" w:hAnsi="仿宋" w:eastAsia="仿宋" w:cs="仿宋"/>
          <w:sz w:val="32"/>
          <w:szCs w:val="32"/>
        </w:rPr>
        <w:t xml:space="preserve"> ，弹出操作成功窗口。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2508250"/>
            <wp:effectExtent l="0" t="0" r="1397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420" w:firstLineChars="0"/>
        <w:outlineLvl w:val="2"/>
        <w:rPr>
          <w:rFonts w:hint="eastAsia" w:ascii="仿宋" w:hAnsi="仿宋" w:eastAsia="仿宋" w:cs="仿宋"/>
          <w:color w:val="2F5597" w:themeColor="accent5" w:themeShade="BF"/>
          <w:sz w:val="32"/>
          <w:szCs w:val="32"/>
        </w:rPr>
      </w:pPr>
      <w:r>
        <w:rPr>
          <w:rFonts w:hint="eastAsia" w:ascii="仿宋" w:hAnsi="仿宋" w:eastAsia="仿宋" w:cs="仿宋"/>
          <w:color w:val="2F5597" w:themeColor="accent5" w:themeShade="BF"/>
          <w:sz w:val="32"/>
          <w:szCs w:val="32"/>
        </w:rPr>
        <w:t>修改信息</w:t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点击侧边栏 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“基本信息”</w:t>
      </w:r>
      <w:r>
        <w:rPr>
          <w:rFonts w:hint="eastAsia" w:ascii="仿宋" w:hAnsi="仿宋" w:eastAsia="仿宋" w:cs="仿宋"/>
          <w:sz w:val="32"/>
          <w:szCs w:val="32"/>
        </w:rPr>
        <w:t xml:space="preserve"> ，可以修改姓名、联系电话等基本信息。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5274310" cy="4210685"/>
            <wp:effectExtent l="0" t="0" r="13970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5" w:leftChars="0" w:hanging="425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点击侧边栏 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>“单位信息”</w:t>
      </w:r>
      <w:r>
        <w:rPr>
          <w:rFonts w:hint="eastAsia" w:ascii="仿宋" w:hAnsi="仿宋" w:eastAsia="仿宋" w:cs="仿宋"/>
          <w:sz w:val="32"/>
          <w:szCs w:val="32"/>
        </w:rPr>
        <w:t>，可以修改法人代表电话等企业信息。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1770" cy="2468880"/>
            <wp:effectExtent l="0" t="0" r="5080" b="7620"/>
            <wp:docPr id="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420" w:firstLineChars="0"/>
        <w:outlineLvl w:val="2"/>
        <w:rPr>
          <w:rFonts w:hint="eastAsia" w:ascii="仿宋" w:hAnsi="仿宋" w:eastAsia="仿宋" w:cs="仿宋"/>
          <w:color w:val="2F5597" w:themeColor="accent5" w:themeShade="BF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color w:val="2F5597" w:themeColor="accent5" w:themeShade="BF"/>
          <w:kern w:val="2"/>
          <w:sz w:val="32"/>
          <w:szCs w:val="32"/>
          <w:lang w:val="en-US" w:eastAsia="zh-CN" w:bidi="ar-SA"/>
        </w:rPr>
        <w:t>补充信息</w:t>
      </w:r>
    </w:p>
    <w:p>
      <w:pPr>
        <w:numPr>
          <w:ilvl w:val="0"/>
          <w:numId w:val="6"/>
        </w:numPr>
        <w:ind w:left="425" w:leftChars="0" w:hanging="425" w:firstLine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许多账号以前在系统中存在企业信息，但信息不全，登录后会进行提示。</w:t>
      </w:r>
    </w:p>
    <w:p>
      <w:pPr>
        <w:numPr>
          <w:ilvl w:val="0"/>
          <w:numId w:val="0"/>
        </w:numPr>
        <w:ind w:left="420" w:leftChars="0"/>
        <w:outlineLvl w:val="9"/>
      </w:pPr>
      <w:r>
        <w:drawing>
          <wp:inline distT="0" distB="0" distL="114300" distR="114300">
            <wp:extent cx="5262880" cy="2487930"/>
            <wp:effectExtent l="0" t="0" r="10160" b="1143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请点击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“确定”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，页面跳转到“认证企业或机构”页面。</w:t>
      </w:r>
    </w:p>
    <w:p>
      <w:pPr>
        <w:numPr>
          <w:ilvl w:val="0"/>
          <w:numId w:val="0"/>
        </w:numPr>
        <w:ind w:left="420" w:leftChars="0"/>
        <w:outlineLvl w:val="9"/>
      </w:pPr>
      <w:r>
        <w:drawing>
          <wp:inline distT="0" distB="0" distL="114300" distR="114300">
            <wp:extent cx="5262880" cy="2487930"/>
            <wp:effectExtent l="0" t="0" r="13970" b="7620"/>
            <wp:docPr id="4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ind w:left="425" w:leftChars="0" w:hanging="425" w:firstLine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补充缺失的信息，点击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“确定”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保存信息，如果必填内容未填写会报错，请根据提示填写相关必填内容。</w:t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3515" cy="2514600"/>
            <wp:effectExtent l="0" t="0" r="9525" b="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420" w:firstLineChars="0"/>
        <w:outlineLvl w:val="2"/>
        <w:rPr>
          <w:rFonts w:hint="eastAsia" w:ascii="仿宋" w:hAnsi="仿宋" w:eastAsia="仿宋" w:cs="仿宋"/>
          <w:color w:val="2F5597" w:themeColor="accent5" w:themeShade="BF"/>
          <w:sz w:val="32"/>
          <w:szCs w:val="32"/>
        </w:rPr>
      </w:pPr>
      <w:r>
        <w:rPr>
          <w:rFonts w:hint="eastAsia" w:ascii="仿宋" w:hAnsi="仿宋" w:eastAsia="仿宋" w:cs="仿宋"/>
          <w:color w:val="2F5597" w:themeColor="accent5" w:themeShade="BF"/>
          <w:sz w:val="32"/>
          <w:szCs w:val="32"/>
          <w:lang w:val="en-US" w:eastAsia="zh-CN"/>
        </w:rPr>
        <w:t>贷款流程</w:t>
      </w:r>
    </w:p>
    <w:p>
      <w:pPr>
        <w:numPr>
          <w:ilvl w:val="0"/>
          <w:numId w:val="7"/>
        </w:numPr>
        <w:ind w:left="425" w:leftChars="0" w:hanging="425" w:firstLineChars="0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首页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“</w:t>
      </w:r>
      <w:r>
        <w:rPr>
          <w:rFonts w:hint="eastAsia" w:ascii="仿宋" w:hAnsi="仿宋" w:eastAsia="仿宋"/>
          <w:color w:val="FF0000"/>
          <w:sz w:val="32"/>
          <w:szCs w:val="32"/>
        </w:rPr>
        <w:t>金融服务</w:t>
      </w:r>
      <w:r>
        <w:rPr>
          <w:rFonts w:hint="eastAsia" w:ascii="仿宋" w:hAnsi="仿宋" w:eastAsia="仿宋"/>
          <w:color w:val="FF0000"/>
          <w:sz w:val="32"/>
          <w:szCs w:val="32"/>
          <w:lang w:eastAsia="zh-CN"/>
        </w:rPr>
        <w:t>”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，页面跳转至金融服务页面。</w:t>
      </w:r>
    </w:p>
    <w:p>
      <w:pPr>
        <w:ind w:firstLine="420" w:firstLineChars="200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688590"/>
            <wp:effectExtent l="0" t="0" r="1397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4150" cy="2331085"/>
            <wp:effectExtent l="0" t="0" r="12700" b="12065"/>
            <wp:docPr id="5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2331085"/>
            <wp:effectExtent l="0" t="0" r="12700" b="12065"/>
            <wp:docPr id="5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7"/>
        </w:numPr>
        <w:ind w:left="425" w:leftChars="0" w:hanging="425" w:firstLineChars="0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用户可按照贷款额度、贷款期限、贷款利率、担保方式、银行、是否线上产品等条件来筛选出自己所需要的金融产品。</w:t>
      </w:r>
    </w:p>
    <w:p>
      <w:pPr>
        <w:ind w:firstLine="420" w:firstLineChars="200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2245" cy="711835"/>
            <wp:effectExtent l="0" t="0" r="14605" b="12065"/>
            <wp:docPr id="4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金融产品展示可以分别按照额度、期限、利率三个条件进行排序。</w:t>
      </w:r>
    </w:p>
    <w:p>
      <w:pPr>
        <w:numPr>
          <w:ilvl w:val="0"/>
          <w:numId w:val="8"/>
        </w:numPr>
        <w:ind w:left="425" w:leftChars="0" w:hanging="425" w:firstLineChars="0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金融产品额度降序排列</w:t>
      </w:r>
    </w:p>
    <w:p>
      <w:pPr>
        <w:ind w:firstLine="640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350010"/>
            <wp:effectExtent l="0" t="0" r="1397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425" w:leftChars="0" w:hanging="425" w:firstLineChars="0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按照期限降序排列</w:t>
      </w:r>
    </w:p>
    <w:p>
      <w:pPr>
        <w:ind w:firstLine="640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225550"/>
            <wp:effectExtent l="0" t="0" r="1397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ind w:left="425" w:leftChars="0" w:hanging="425" w:firstLineChars="0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按照利率降序排列</w:t>
      </w:r>
    </w:p>
    <w:p>
      <w:pPr>
        <w:ind w:firstLine="640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251585"/>
            <wp:effectExtent l="0" t="0" r="13970" b="133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7"/>
        </w:numPr>
        <w:ind w:left="425" w:leftChars="0" w:hanging="425" w:firstLineChars="0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选择用户自己筛选出的金融产品，点击后可以进行产品申请。在产品详情页面用户可以看到该产品的相关信息。</w:t>
      </w:r>
    </w:p>
    <w:p>
      <w:pPr>
        <w:ind w:firstLine="640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9865" cy="3954780"/>
            <wp:effectExtent l="0" t="0" r="6985" b="7620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7"/>
        </w:numPr>
        <w:ind w:left="425" w:leftChars="0" w:hanging="425" w:firstLineChars="0"/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在点击</w:t>
      </w:r>
      <w:r>
        <w:rPr>
          <w:rFonts w:hint="eastAsia" w:ascii="仿宋" w:hAnsi="仿宋" w:eastAsia="仿宋"/>
          <w:color w:val="FF0000"/>
          <w:sz w:val="32"/>
          <w:szCs w:val="32"/>
        </w:rPr>
        <w:t>“立即申请”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后</w:t>
      </w:r>
      <w:r>
        <w:rPr>
          <w:rFonts w:hint="eastAsia" w:ascii="仿宋" w:hAnsi="仿宋" w:eastAsia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弹出产品申请窗口，企业须如实填写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贷款需求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信息，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阅读并同意协议后，方可点击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“确认”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保存信息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1610" cy="2368550"/>
            <wp:effectExtent l="0" t="0" r="11430" b="889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7"/>
        </w:numPr>
        <w:ind w:left="425" w:leftChars="0" w:hanging="425" w:firstLineChars="0"/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提交申请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后</w:t>
      </w:r>
      <w:r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，用户可在用户中心查看自己申请的记录。</w:t>
      </w:r>
    </w:p>
    <w:p>
      <w:pPr>
        <w:ind w:firstLine="640"/>
        <w:rPr>
          <w:rFonts w:hint="eastAsia"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3376930"/>
            <wp:effectExtent l="0" t="0" r="13970" b="6350"/>
            <wp:docPr id="22" name="图片 22" descr="C:\Users\SEELE\AppData\Local\Temp\158159488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SEELE\AppData\Local\Temp\1581594882(1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ind w:left="425" w:leftChars="0" w:hanging="425" w:firstLineChars="0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贷款成功或失败后，在用户中心点击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“交易结果”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可以查看银行的反馈信息。</w:t>
      </w:r>
    </w:p>
    <w:p>
      <w:r>
        <w:drawing>
          <wp:inline distT="0" distB="0" distL="114300" distR="114300">
            <wp:extent cx="5271770" cy="2518410"/>
            <wp:effectExtent l="0" t="0" r="1270" b="11430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420" w:firstLineChars="0"/>
        <w:outlineLvl w:val="2"/>
        <w:rPr>
          <w:rFonts w:hint="default" w:ascii="仿宋" w:hAnsi="仿宋" w:eastAsia="仿宋" w:cs="仿宋"/>
          <w:color w:val="2F5597" w:themeColor="accent5" w:themeShade="BF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2F5597" w:themeColor="accent5" w:themeShade="BF"/>
          <w:sz w:val="32"/>
          <w:szCs w:val="32"/>
          <w:lang w:val="en-US" w:eastAsia="zh-CN"/>
        </w:rPr>
        <w:t>发布产品</w:t>
      </w:r>
    </w:p>
    <w:p>
      <w:pPr>
        <w:numPr>
          <w:ilvl w:val="0"/>
          <w:numId w:val="9"/>
        </w:numPr>
        <w:ind w:left="425" w:leftChars="0" w:hanging="425" w:firstLineChars="0"/>
        <w:outlineLvl w:val="9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用户中心点击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“产品管理”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，进入产品管理页面。</w:t>
      </w:r>
    </w:p>
    <w:p>
      <w:pPr>
        <w:numPr>
          <w:ilvl w:val="0"/>
          <w:numId w:val="0"/>
        </w:numPr>
        <w:ind w:left="420" w:leftChars="0"/>
        <w:outlineLvl w:val="9"/>
      </w:pPr>
      <w:r>
        <w:drawing>
          <wp:inline distT="0" distB="0" distL="114300" distR="114300">
            <wp:extent cx="5270500" cy="2300605"/>
            <wp:effectExtent l="0" t="0" r="6350" b="4445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425" w:leftChars="0" w:hanging="425" w:firstLineChars="0"/>
        <w:outlineLvl w:val="9"/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“发布产品”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，进入发布产品页面，填写完相关信息，点击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“确定”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，自动跳转到产品管理页面。</w:t>
      </w:r>
    </w:p>
    <w:p>
      <w:pPr>
        <w:numPr>
          <w:numId w:val="0"/>
        </w:numPr>
        <w:ind w:leftChars="0"/>
        <w:outlineLvl w:val="9"/>
      </w:pPr>
      <w:r>
        <w:drawing>
          <wp:inline distT="0" distB="0" distL="114300" distR="114300">
            <wp:extent cx="5267325" cy="2165985"/>
            <wp:effectExtent l="0" t="0" r="9525" b="5715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353310"/>
            <wp:effectExtent l="0" t="0" r="6350" b="8890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425" w:leftChars="0" w:hanging="425" w:firstLineChars="0"/>
        <w:outlineLvl w:val="9"/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待管理员审核通过后，在产品列表中可以看到产品状态变为审核通过。</w:t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64785" cy="2353310"/>
            <wp:effectExtent l="0" t="0" r="12065" b="8890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ind w:left="425" w:leftChars="0" w:hanging="425" w:firstLineChars="0"/>
        <w:outlineLvl w:val="9"/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产品管理页面点击审核不通过可以看到审核不通过的产品。</w:t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62245" cy="2099310"/>
            <wp:effectExtent l="0" t="0" r="14605" b="1524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</w:pPr>
    </w:p>
    <w:p>
      <w:pPr>
        <w:numPr>
          <w:ilvl w:val="0"/>
          <w:numId w:val="1"/>
        </w:numPr>
        <w:ind w:left="0" w:leftChars="0" w:firstLine="420" w:firstLineChars="0"/>
        <w:outlineLvl w:val="2"/>
        <w:rPr>
          <w:rFonts w:hint="default" w:ascii="仿宋" w:hAnsi="仿宋" w:eastAsia="仿宋" w:cs="仿宋"/>
          <w:color w:val="2F5597" w:themeColor="accent5" w:themeShade="BF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2F5597" w:themeColor="accent5" w:themeShade="BF"/>
          <w:sz w:val="32"/>
          <w:szCs w:val="32"/>
          <w:lang w:val="en-US" w:eastAsia="zh-CN"/>
        </w:rPr>
        <w:t>产品卖出</w:t>
      </w:r>
    </w:p>
    <w:p>
      <w:pPr>
        <w:numPr>
          <w:ilvl w:val="0"/>
          <w:numId w:val="10"/>
        </w:numPr>
        <w:ind w:left="425" w:leftChars="0" w:hanging="425" w:firstLineChars="0"/>
        <w:outlineLvl w:val="9"/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用户中心，点击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“卖出管理”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，可以查看已被申请的产品</w:t>
      </w:r>
    </w:p>
    <w:p>
      <w:pPr>
        <w:numPr>
          <w:ilvl w:val="0"/>
          <w:numId w:val="0"/>
        </w:numPr>
        <w:ind w:left="420" w:leftChars="0"/>
        <w:outlineLvl w:val="9"/>
      </w:pPr>
      <w:r>
        <w:drawing>
          <wp:inline distT="0" distB="0" distL="114300" distR="114300">
            <wp:extent cx="5273675" cy="2462530"/>
            <wp:effectExtent l="0" t="0" r="3175" b="13970"/>
            <wp:docPr id="4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ind w:left="425" w:leftChars="0" w:hanging="425" w:firstLineChars="0"/>
        <w:outlineLvl w:val="9"/>
        <w:rPr>
          <w:rFonts w:hint="default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点击交易记录中的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“待确认（去审核）”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，弹出确认窗口。点击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“同意”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即交易成功。点击</w:t>
      </w:r>
      <w:r>
        <w:rPr>
          <w:rFonts w:hint="eastAsia" w:ascii="仿宋" w:hAnsi="仿宋" w:eastAsia="仿宋"/>
          <w:color w:val="FF0000"/>
          <w:sz w:val="32"/>
          <w:szCs w:val="32"/>
          <w:lang w:val="en-US" w:eastAsia="zh-CN"/>
        </w:rPr>
        <w:t>“不同意”</w:t>
      </w:r>
      <w:r>
        <w:rPr>
          <w:rFonts w:hint="eastAsia" w:ascii="仿宋" w:hAnsi="仿宋" w:eastAsia="仿宋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即交易失败。</w:t>
      </w:r>
    </w:p>
    <w:p>
      <w:pPr>
        <w:numPr>
          <w:ilvl w:val="0"/>
          <w:numId w:val="0"/>
        </w:numPr>
        <w:ind w:left="420" w:leftChars="0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462530"/>
            <wp:effectExtent l="0" t="0" r="3175" b="13970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ind w:left="0" w:leftChars="0" w:firstLine="420" w:firstLineChars="0"/>
        <w:outlineLvl w:val="2"/>
        <w:rPr>
          <w:rFonts w:hint="default" w:ascii="仿宋" w:hAnsi="仿宋" w:eastAsia="仿宋" w:cs="仿宋"/>
          <w:color w:val="2F5597" w:themeColor="accent5" w:themeShade="BF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2F5597" w:themeColor="accent5" w:themeShade="BF"/>
          <w:sz w:val="32"/>
          <w:szCs w:val="32"/>
          <w:lang w:val="en-US" w:eastAsia="zh-CN"/>
        </w:rPr>
        <w:t>服务买入</w:t>
      </w:r>
    </w:p>
    <w:p>
      <w:pPr>
        <w:numPr>
          <w:ilvl w:val="0"/>
          <w:numId w:val="11"/>
        </w:numPr>
        <w:ind w:left="425" w:leftChars="0" w:hanging="425" w:firstLineChars="0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网站首页点击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“找服务”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，进入服务列表</w:t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63515" cy="2478405"/>
            <wp:effectExtent l="0" t="0" r="9525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left="425" w:leftChars="0" w:hanging="425" w:firstLineChars="0"/>
        <w:outlineLvl w:val="9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服务列表中可以根据服务分类、所属区域、机构人数、收费模式进行筛选，根据关键字进行搜索。点击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“服务”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，进入服务页面。</w:t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66690" cy="2511425"/>
            <wp:effectExtent l="0" t="0" r="635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left="425" w:leftChars="0" w:hanging="425" w:firstLineChars="0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服务页面点击加入购物车，可以在购物车里查看服务。点击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“立即申请”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，弹出申请窗口。</w:t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59705" cy="2455545"/>
            <wp:effectExtent l="0" t="0" r="17145" b="1905"/>
            <wp:docPr id="4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ind w:left="425" w:leftChars="0" w:hanging="425" w:firstLineChars="0"/>
        <w:outlineLvl w:val="9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在申请窗口，点击</w:t>
      </w: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“确认”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，即可买入服务，并通过联系方式进行线下对接。</w:t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5268595" cy="2299970"/>
            <wp:effectExtent l="0" t="0" r="8255" b="508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AB414B7"/>
    <w:multiLevelType w:val="singleLevel"/>
    <w:tmpl w:val="AAB414B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E18E2806"/>
    <w:multiLevelType w:val="singleLevel"/>
    <w:tmpl w:val="E18E2806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2">
    <w:nsid w:val="ECD682E3"/>
    <w:multiLevelType w:val="singleLevel"/>
    <w:tmpl w:val="ECD682E3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FDACD8F4"/>
    <w:multiLevelType w:val="singleLevel"/>
    <w:tmpl w:val="FDACD8F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05FBE9CF"/>
    <w:multiLevelType w:val="singleLevel"/>
    <w:tmpl w:val="05FBE9C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0FE3F2F5"/>
    <w:multiLevelType w:val="singleLevel"/>
    <w:tmpl w:val="0FE3F2F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12D3369E"/>
    <w:multiLevelType w:val="singleLevel"/>
    <w:tmpl w:val="12D3369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42BCC008"/>
    <w:multiLevelType w:val="singleLevel"/>
    <w:tmpl w:val="42BCC00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654FAEF3"/>
    <w:multiLevelType w:val="singleLevel"/>
    <w:tmpl w:val="654FAEF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71606873"/>
    <w:multiLevelType w:val="singleLevel"/>
    <w:tmpl w:val="7160687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73519781"/>
    <w:multiLevelType w:val="singleLevel"/>
    <w:tmpl w:val="7351978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7"/>
  </w:num>
  <w:num w:numId="5">
    <w:abstractNumId w:val="8"/>
  </w:num>
  <w:num w:numId="6">
    <w:abstractNumId w:val="4"/>
  </w:num>
  <w:num w:numId="7">
    <w:abstractNumId w:val="5"/>
  </w:num>
  <w:num w:numId="8">
    <w:abstractNumId w:val="1"/>
  </w:num>
  <w:num w:numId="9">
    <w:abstractNumId w:val="0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5F58CF"/>
    <w:rsid w:val="08F76E0B"/>
    <w:rsid w:val="155A4C67"/>
    <w:rsid w:val="2A8946D2"/>
    <w:rsid w:val="3D8E29A4"/>
    <w:rsid w:val="488023C2"/>
    <w:rsid w:val="49F2403D"/>
    <w:rsid w:val="59DB41EA"/>
    <w:rsid w:val="793177A3"/>
    <w:rsid w:val="7BA47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semiHidden/>
    <w:unhideWhenUsed/>
    <w:qFormat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Office_11.8.2.8696_F1E327BC-269C-435d-A152-05C5408002CA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2020-03-09T03:06:00Z</dcterms:created>
  <dc:creator>ysy</dc:creator>
  <cp:lastModifiedBy>DELL</cp:lastModifiedBy>
  <dcterms:modified xsi:type="dcterms:W3CDTF">2020-03-27T05:06:21Z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2052-11.8.2.8696</vt:lpwstr>
  </property>
</Properties>
</file>